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  <w:lang w:eastAsia="zh-CN"/>
        </w:rPr>
        <w:t>评价指标</w:t>
      </w:r>
    </w:p>
    <w:tbl>
      <w:tblPr>
        <w:tblStyle w:val="2"/>
        <w:tblpPr w:leftFromText="180" w:rightFromText="180" w:vertAnchor="text" w:horzAnchor="page" w:tblpX="1073" w:tblpY="394"/>
        <w:tblOverlap w:val="never"/>
        <w:tblW w:w="97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33"/>
        <w:gridCol w:w="6567"/>
        <w:gridCol w:w="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分值（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设计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紧密围绕立德树人根本任务。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教学目标明确、思路清晰。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课堂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(75分)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内容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(30分)</w:t>
            </w: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贯彻立德树人的具体要求，突出课堂德育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理论联系实际，符合学生的特点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注重学术性，内容充实，渗透专业思想，为教学目标服务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Times New Roman"/>
                <w:color w:val="000000"/>
                <w:spacing w:val="-1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组织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(30分)</w:t>
            </w: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教学过程安排合理，方法灵活、恰当，教学设计体现完整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语言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(10分)</w:t>
            </w: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肢体语言运用合理、恰当，教态自然大方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教态仪表自然得体，精神饱满，亲和力强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特色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(5分)</w:t>
            </w:r>
          </w:p>
        </w:tc>
        <w:tc>
          <w:tcPr>
            <w:tcW w:w="6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思政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(5分)</w:t>
            </w: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" w:cs="Times New Roman"/>
                <w:spacing w:val="-12"/>
                <w:kern w:val="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MTk3OTZjYTMyZWU4YWZhOGZkYTU5M2NjYTRkY2YifQ=="/>
  </w:docVars>
  <w:rsids>
    <w:rsidRoot w:val="7AF211AD"/>
    <w:rsid w:val="7AF2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2024-03-27T07:35:00Z</dcterms:created>
  <dc:creator>hp</dc:creator>
  <cp:lastModifiedBy>hp</cp:lastModifiedBy>
  <dcterms:modified xsi:type="dcterms:W3CDTF">2024-03-27T07:39:10Z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7F5A48DEAA7749F0A063BB51F08DF740</vt:lpwstr>
  </property>
</Properties>
</file>